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BA" w:rsidRPr="00677652" w:rsidRDefault="00803F6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Mục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đích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803F6A" w:rsidRPr="00677652" w:rsidRDefault="00677652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Nhằm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khuyến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khích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hỗ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TDTU học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nâng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cao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chuyên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môn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trình độ thạc sĩ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01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ngay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sau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khi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tốt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nghiệp đại học.</w:t>
      </w:r>
    </w:p>
    <w:p w:rsidR="00803F6A" w:rsidRPr="00677652" w:rsidRDefault="00803F6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Đối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tượng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5A5419" w:rsidRPr="00637DB2" w:rsidRDefault="00677652" w:rsidP="008A41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37DB2">
        <w:rPr>
          <w:rFonts w:asciiTheme="majorHAnsi" w:hAnsiTheme="majorHAnsi" w:cstheme="majorHAnsi"/>
          <w:bCs/>
          <w:sz w:val="24"/>
          <w:szCs w:val="24"/>
        </w:rPr>
        <w:t>Sinh viên</w:t>
      </w:r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TDTU</w:t>
      </w:r>
      <w:r w:rsidRPr="00637DB2">
        <w:rPr>
          <w:rFonts w:asciiTheme="majorHAnsi" w:hAnsiTheme="majorHAnsi" w:cstheme="majorHAnsi"/>
          <w:bCs/>
          <w:sz w:val="24"/>
          <w:szCs w:val="24"/>
        </w:rPr>
        <w:t xml:space="preserve"> học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bồi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dưỡng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37DB2" w:rsidRPr="00637DB2">
        <w:rPr>
          <w:rFonts w:asciiTheme="majorHAnsi" w:hAnsiTheme="majorHAnsi" w:cstheme="majorHAnsi"/>
          <w:b/>
          <w:bCs/>
          <w:sz w:val="24"/>
          <w:szCs w:val="24"/>
          <w:lang w:val="en-US"/>
        </w:rPr>
        <w:t>0</w:t>
      </w:r>
      <w:r w:rsidRPr="00637DB2">
        <w:rPr>
          <w:rFonts w:asciiTheme="majorHAnsi" w:hAnsiTheme="majorHAnsi" w:cstheme="majorHAnsi"/>
          <w:b/>
          <w:bCs/>
          <w:sz w:val="24"/>
          <w:szCs w:val="24"/>
        </w:rPr>
        <w:t xml:space="preserve">2 học </w:t>
      </w:r>
      <w:proofErr w:type="spellStart"/>
      <w:r w:rsidRPr="00637DB2">
        <w:rPr>
          <w:rFonts w:asciiTheme="majorHAnsi" w:hAnsiTheme="majorHAnsi" w:cstheme="majorHAnsi"/>
          <w:b/>
          <w:bCs/>
          <w:sz w:val="24"/>
          <w:szCs w:val="24"/>
        </w:rPr>
        <w:t>phần</w:t>
      </w:r>
      <w:proofErr w:type="spellEnd"/>
      <w:r w:rsidRPr="00637DB2">
        <w:rPr>
          <w:rFonts w:asciiTheme="majorHAnsi" w:hAnsiTheme="majorHAnsi" w:cstheme="majorHAnsi"/>
          <w:b/>
          <w:bCs/>
          <w:sz w:val="24"/>
          <w:szCs w:val="24"/>
        </w:rPr>
        <w:t xml:space="preserve"> chung</w:t>
      </w:r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(không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có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điều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kiện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ràng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buộc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về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kết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quả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 xml:space="preserve"> học </w:t>
      </w:r>
      <w:proofErr w:type="spellStart"/>
      <w:r w:rsidR="008A41BA" w:rsidRPr="00637DB2">
        <w:rPr>
          <w:rFonts w:asciiTheme="majorHAnsi" w:hAnsiTheme="majorHAnsi" w:cstheme="majorHAnsi"/>
          <w:bCs/>
          <w:sz w:val="24"/>
          <w:szCs w:val="24"/>
        </w:rPr>
        <w:t>tập</w:t>
      </w:r>
      <w:proofErr w:type="spellEnd"/>
      <w:r w:rsidR="008A41BA" w:rsidRPr="00637DB2">
        <w:rPr>
          <w:rFonts w:asciiTheme="majorHAnsi" w:hAnsiTheme="majorHAnsi" w:cstheme="majorHAnsi"/>
          <w:bCs/>
          <w:sz w:val="24"/>
          <w:szCs w:val="24"/>
        </w:rPr>
        <w:t>)</w:t>
      </w:r>
      <w:r w:rsidRPr="00637DB2">
        <w:rPr>
          <w:rFonts w:asciiTheme="majorHAnsi" w:hAnsiTheme="majorHAnsi" w:cstheme="majorHAnsi"/>
          <w:sz w:val="24"/>
          <w:szCs w:val="24"/>
        </w:rPr>
        <w:t>:</w:t>
      </w:r>
    </w:p>
    <w:p w:rsidR="005A5419" w:rsidRPr="00637DB2" w:rsidRDefault="00677652" w:rsidP="008A41BA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37DB2">
        <w:rPr>
          <w:rFonts w:asciiTheme="majorHAnsi" w:hAnsiTheme="majorHAnsi" w:cstheme="majorHAnsi"/>
          <w:sz w:val="24"/>
          <w:szCs w:val="24"/>
        </w:rPr>
        <w:t xml:space="preserve">Triết học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Mac-Lenin</w:t>
      </w:r>
      <w:proofErr w:type="spellEnd"/>
    </w:p>
    <w:p w:rsidR="005A5419" w:rsidRPr="00637DB2" w:rsidRDefault="00677652" w:rsidP="008A41BA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37DB2">
        <w:rPr>
          <w:rFonts w:asciiTheme="majorHAnsi" w:hAnsiTheme="majorHAnsi" w:cstheme="majorHAnsi"/>
          <w:sz w:val="24"/>
          <w:szCs w:val="24"/>
        </w:rPr>
        <w:t xml:space="preserve">Phương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pháp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nghiên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cứu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khoa học</w:t>
      </w:r>
    </w:p>
    <w:p w:rsidR="00803F6A" w:rsidRPr="00637DB2" w:rsidRDefault="00637DB2" w:rsidP="00AD32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37DB2">
        <w:rPr>
          <w:rFonts w:asciiTheme="majorHAnsi" w:hAnsiTheme="majorHAnsi" w:cstheme="majorHAnsi"/>
          <w:bCs/>
          <w:sz w:val="24"/>
          <w:szCs w:val="24"/>
        </w:rPr>
        <w:t xml:space="preserve">Sinh viên TDTU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tích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677652" w:rsidRPr="00637DB2">
        <w:rPr>
          <w:rFonts w:asciiTheme="majorHAnsi" w:hAnsiTheme="majorHAnsi" w:cstheme="majorHAnsi"/>
          <w:bCs/>
          <w:sz w:val="24"/>
          <w:szCs w:val="24"/>
        </w:rPr>
        <w:t>lũy</w:t>
      </w:r>
      <w:proofErr w:type="spellEnd"/>
      <w:r w:rsidR="00677652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tối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thiểu</w:t>
      </w:r>
      <w:proofErr w:type="spellEnd"/>
      <w:r w:rsidR="00677652"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77652" w:rsidRPr="00637DB2">
        <w:rPr>
          <w:rFonts w:asciiTheme="majorHAnsi" w:hAnsiTheme="majorHAnsi" w:cstheme="majorHAnsi"/>
          <w:b/>
          <w:bCs/>
          <w:sz w:val="24"/>
          <w:szCs w:val="24"/>
        </w:rPr>
        <w:t xml:space="preserve">100 </w:t>
      </w:r>
      <w:proofErr w:type="spellStart"/>
      <w:r w:rsidR="00677652" w:rsidRPr="00637DB2">
        <w:rPr>
          <w:rFonts w:asciiTheme="majorHAnsi" w:hAnsiTheme="majorHAnsi" w:cstheme="majorHAnsi"/>
          <w:b/>
          <w:bCs/>
          <w:sz w:val="24"/>
          <w:szCs w:val="24"/>
        </w:rPr>
        <w:t>tín</w:t>
      </w:r>
      <w:proofErr w:type="spellEnd"/>
      <w:r w:rsidR="00677652" w:rsidRPr="00637DB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677652" w:rsidRPr="00637DB2">
        <w:rPr>
          <w:rFonts w:asciiTheme="majorHAnsi" w:hAnsiTheme="majorHAnsi" w:cstheme="majorHAnsi"/>
          <w:b/>
          <w:bCs/>
          <w:sz w:val="24"/>
          <w:szCs w:val="24"/>
        </w:rPr>
        <w:t>chỉ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(chuyên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ngành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đúng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>/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phù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hợp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)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được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phép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học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bồi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dưỡng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tối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đa </w:t>
      </w:r>
      <w:r w:rsidRPr="00637DB2">
        <w:rPr>
          <w:rFonts w:asciiTheme="majorHAnsi" w:hAnsiTheme="majorHAnsi" w:cstheme="majorHAnsi"/>
          <w:b/>
          <w:bCs/>
          <w:sz w:val="24"/>
          <w:szCs w:val="24"/>
        </w:rPr>
        <w:t xml:space="preserve">12 </w:t>
      </w:r>
      <w:proofErr w:type="spellStart"/>
      <w:r w:rsidRPr="00637DB2">
        <w:rPr>
          <w:rFonts w:asciiTheme="majorHAnsi" w:hAnsiTheme="majorHAnsi" w:cstheme="majorHAnsi"/>
          <w:b/>
          <w:bCs/>
          <w:sz w:val="24"/>
          <w:szCs w:val="24"/>
        </w:rPr>
        <w:t>tín</w:t>
      </w:r>
      <w:proofErr w:type="spellEnd"/>
      <w:r w:rsidRPr="00637DB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b/>
          <w:bCs/>
          <w:sz w:val="24"/>
          <w:szCs w:val="24"/>
        </w:rPr>
        <w:t>chỉ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học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phần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chuyên </w:t>
      </w:r>
      <w:proofErr w:type="spellStart"/>
      <w:r w:rsidRPr="00637DB2">
        <w:rPr>
          <w:rFonts w:asciiTheme="majorHAnsi" w:hAnsiTheme="majorHAnsi" w:cstheme="majorHAnsi"/>
          <w:bCs/>
          <w:sz w:val="24"/>
          <w:szCs w:val="24"/>
        </w:rPr>
        <w:t>ngành</w:t>
      </w:r>
      <w:proofErr w:type="spellEnd"/>
      <w:r w:rsidRPr="00637DB2">
        <w:rPr>
          <w:rFonts w:asciiTheme="majorHAnsi" w:hAnsiTheme="majorHAnsi" w:cstheme="majorHAnsi"/>
          <w:bCs/>
          <w:sz w:val="24"/>
          <w:szCs w:val="24"/>
        </w:rPr>
        <w:t xml:space="preserve"> sau đại học.</w:t>
      </w:r>
    </w:p>
    <w:p w:rsidR="00803F6A" w:rsidRPr="00677652" w:rsidRDefault="00803F6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Quyền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lợi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803F6A" w:rsidRPr="00637DB2" w:rsidRDefault="00637DB2" w:rsidP="00803F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37DB2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hưởng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chính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sách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học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bổng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sau đại học (SV loại Giỏi giảm 50% học phí; loại Khá giảm 30%; còn lại 25%),</w:t>
      </w:r>
    </w:p>
    <w:p w:rsidR="00637DB2" w:rsidRPr="00637DB2" w:rsidRDefault="00637DB2" w:rsidP="00803F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37DB2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xét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tuyển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vào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chương trình cao học trong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vòng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</w:t>
      </w:r>
      <w:r w:rsidRPr="00637DB2">
        <w:rPr>
          <w:rFonts w:asciiTheme="majorHAnsi" w:hAnsiTheme="majorHAnsi" w:cstheme="majorHAnsi"/>
          <w:b/>
          <w:sz w:val="24"/>
          <w:szCs w:val="24"/>
        </w:rPr>
        <w:t xml:space="preserve">12 </w:t>
      </w:r>
      <w:proofErr w:type="spellStart"/>
      <w:r w:rsidRPr="00637DB2">
        <w:rPr>
          <w:rFonts w:asciiTheme="majorHAnsi" w:hAnsiTheme="majorHAnsi" w:cstheme="majorHAnsi"/>
          <w:b/>
          <w:sz w:val="24"/>
          <w:szCs w:val="24"/>
        </w:rPr>
        <w:t>tháng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sau khi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tốt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nghiệp đại học,</w:t>
      </w:r>
    </w:p>
    <w:p w:rsidR="007468BA" w:rsidRPr="00637DB2" w:rsidRDefault="00803F6A" w:rsidP="00E23D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37DB2">
        <w:rPr>
          <w:rFonts w:asciiTheme="majorHAnsi" w:hAnsiTheme="majorHAnsi" w:cstheme="majorHAnsi"/>
          <w:sz w:val="24"/>
          <w:szCs w:val="24"/>
        </w:rPr>
        <w:t>Rút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ngắn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7DB2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637DB2">
        <w:rPr>
          <w:rFonts w:asciiTheme="majorHAnsi" w:hAnsiTheme="majorHAnsi" w:cstheme="majorHAnsi"/>
          <w:sz w:val="24"/>
          <w:szCs w:val="24"/>
        </w:rPr>
        <w:t xml:space="preserve"> gian học cao học</w:t>
      </w:r>
      <w:r w:rsidR="00637DB2"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còn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01 năm: 01 học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kỳ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học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phần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chuyên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ngành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và 01 học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kỳ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thực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hiện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Luận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văn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thạc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7DB2" w:rsidRPr="00637DB2">
        <w:rPr>
          <w:rFonts w:asciiTheme="majorHAnsi" w:hAnsiTheme="majorHAnsi" w:cstheme="majorHAnsi"/>
          <w:sz w:val="24"/>
          <w:szCs w:val="24"/>
        </w:rPr>
        <w:t>sĩ</w:t>
      </w:r>
      <w:proofErr w:type="spellEnd"/>
      <w:r w:rsidR="00637DB2" w:rsidRPr="00637DB2">
        <w:rPr>
          <w:rFonts w:asciiTheme="majorHAnsi" w:hAnsiTheme="majorHAnsi" w:cstheme="majorHAnsi"/>
          <w:sz w:val="24"/>
          <w:szCs w:val="24"/>
        </w:rPr>
        <w:t>.</w:t>
      </w:r>
    </w:p>
    <w:p w:rsidR="007468BA" w:rsidRPr="00677652" w:rsidRDefault="00677652">
      <w:pPr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</w:pPr>
      <w:r w:rsidRPr="0067765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Trình </w:t>
      </w: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tự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thực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7765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hiện</w:t>
      </w:r>
      <w:proofErr w:type="spellEnd"/>
      <w:r w:rsidRPr="0067765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:</w:t>
      </w:r>
    </w:p>
    <w:tbl>
      <w:tblPr>
        <w:tblW w:w="13855" w:type="dxa"/>
        <w:tblLook w:val="04A0" w:firstRow="1" w:lastRow="0" w:firstColumn="1" w:lastColumn="0" w:noHBand="0" w:noVBand="1"/>
      </w:tblPr>
      <w:tblGrid>
        <w:gridCol w:w="580"/>
        <w:gridCol w:w="1575"/>
        <w:gridCol w:w="5040"/>
        <w:gridCol w:w="1980"/>
        <w:gridCol w:w="4680"/>
      </w:tblGrid>
      <w:tr w:rsidR="007468BA" w:rsidRPr="007468BA" w:rsidTr="00637DB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#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Giai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đoạn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dung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Biểu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mẫu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liên quan</w:t>
            </w:r>
          </w:p>
        </w:tc>
      </w:tr>
      <w:tr w:rsidR="007468BA" w:rsidRPr="007468BA" w:rsidTr="007468BA">
        <w:trPr>
          <w:trHeight w:val="23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Sinh viên TDTU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1.  Theo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dõi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thông tin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nộp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đơn xin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học chương trình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bồi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dưỡng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sau đại học (CT 4+1):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Sinh viên theo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dõi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thông tin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về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việc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mở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các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phần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trong chương trình 4+1 trên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website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phòng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Sau đại học (P.SĐH) và khoa chuyên môn;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Hoàn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nộp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đơn xin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bồi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dưỡng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sau đại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có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xác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637DB2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hoa chuyên môn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về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P.SĐH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Sinh viên, P.SĐH, Khoa chuyên môn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ind w:right="1938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Đơn xin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chương trình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bồi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dưỡng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sau đại học</w:t>
            </w:r>
          </w:p>
        </w:tc>
      </w:tr>
      <w:tr w:rsidR="007468BA" w:rsidRPr="007468BA" w:rsidTr="007468BA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41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2. Xem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khóa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biểu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đóng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: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Sinh viên theo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dõi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thời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khóa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biểu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chính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thức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trên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website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P.SĐH;</w:t>
            </w:r>
          </w:p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+ Sinh viên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hiện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đóng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phí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theo thông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báo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P.Tài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chính; (thông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báo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email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sinh viên)</w:t>
            </w:r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</w:t>
            </w:r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Sinh viên </w:t>
            </w:r>
            <w:proofErr w:type="spellStart"/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làm</w:t>
            </w:r>
            <w:proofErr w:type="spellEnd"/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Đơn xin </w:t>
            </w:r>
            <w:proofErr w:type="spellStart"/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hủy</w:t>
            </w:r>
            <w:proofErr w:type="spellEnd"/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môn học </w:t>
            </w:r>
            <w:proofErr w:type="spellStart"/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gửi</w:t>
            </w:r>
            <w:proofErr w:type="spellEnd"/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P.ĐH</w:t>
            </w:r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để</w:t>
            </w:r>
            <w:proofErr w:type="spellEnd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hủy</w:t>
            </w:r>
            <w:proofErr w:type="spellEnd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môn</w:t>
            </w:r>
            <w:proofErr w:type="spellEnd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học </w:t>
            </w:r>
            <w:proofErr w:type="spellStart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tương</w:t>
            </w:r>
            <w:proofErr w:type="spellEnd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B4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đương</w:t>
            </w:r>
            <w:proofErr w:type="spellEnd"/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Sinh viên, P.SĐH, Phòng Tài chính</w:t>
            </w:r>
            <w:r w:rsidR="00E21410" w:rsidRPr="00637DB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 P.ĐH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Biên lai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đóng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phí</w:t>
            </w:r>
            <w:proofErr w:type="spellEnd"/>
          </w:p>
        </w:tc>
      </w:tr>
      <w:tr w:rsidR="007468BA" w:rsidRPr="007468BA" w:rsidTr="007468BA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3. Tổ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giảng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dạy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và học theo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khóa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biểu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P.SĐH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đã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Khoa chuyên môn, sinh viên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Hướng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dẫn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xem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thời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khóa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biểu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xem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lịch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thi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điểm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cho sinh viên theo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bồi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dưỡng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sau đại học</w:t>
            </w:r>
          </w:p>
        </w:tc>
      </w:tr>
      <w:tr w:rsidR="007468BA" w:rsidRPr="007468BA" w:rsidTr="007468BA">
        <w:trPr>
          <w:trHeight w:val="11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41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Nộp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đơn xin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môn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bậc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đại học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nếu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có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):</w:t>
            </w:r>
          </w:p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Sinh viên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hoàn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nộp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đơn xin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môn học đại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đối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với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những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phần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có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xét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miễn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tương đương theo quy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định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nhà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trường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Sinh viên, P.SĐH, Phòng Đại học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Đơn xin công</w:t>
            </w:r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môn học đại học</w:t>
            </w:r>
          </w:p>
        </w:tc>
      </w:tr>
      <w:tr w:rsidR="007468BA" w:rsidRPr="007468BA" w:rsidTr="007468BA">
        <w:trPr>
          <w:trHeight w:val="59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Sau khi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tốt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nghiệp đại học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41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sau khi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tốt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nghiệp trong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vòng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:</w:t>
            </w:r>
            <w:r w:rsidR="00A35B4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Chuẩn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bị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hồ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sơ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để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truyến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hiện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tuyến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trên trang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sinh sau đại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ĐH Tôn Đức Thắng (trên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website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P.SĐH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mục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sinh);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Nộp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bộ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hồ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sơ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giấy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sau khi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tuyến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P.SĐH;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Nộp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lệ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phí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phòng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Tài chính.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Sinh viên sau khi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tốt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nghiệp, P.SĐH, Phòng Tài chính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+ Hồ sơ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để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trực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tuyến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  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file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ảnh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chân dung (3 x 4);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  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file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scan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văn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bằng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tốt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nghiệp đại học (lưu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pdf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); 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  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file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scan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điểm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tốt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nghiệp đại học (lưu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pdf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  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file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scan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chứng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chỉ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ngoại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ngữ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quốc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tế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đủ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điều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kiện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xét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miễn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ngoại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ngữ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còn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thời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hạn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nếu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có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  - Thông tin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cá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nhân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về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CMND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bộ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hồ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sơ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giấy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cơ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cần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chuẩn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bị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bao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gồm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Phiếu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(in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từ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trang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- 02 lý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lịch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khoa học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biểu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mẫu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trên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website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P.SĐH); 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photo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văn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bằng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tốt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nghiệp đại học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photo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không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cần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chứng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photo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điểm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tốt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nghiệp đại học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photo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không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cần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chứng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bản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photo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chứng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chỉ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ngoại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ngữ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quốc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tế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đủ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điều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kiện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xét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miễn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ngoại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ngữ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còn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thời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hạn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nếu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có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- 01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phiếu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khám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sức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khỏe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có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dán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ảnh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đóng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dấu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giáp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lai lên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ảnh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- 02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ảnh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3 x 4.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Xem chi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tiết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hồ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sơ đăng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ký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dự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chương trình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đào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tạo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thạc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sĩ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trên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website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P.SĐH.</w:t>
            </w:r>
          </w:p>
        </w:tc>
      </w:tr>
      <w:tr w:rsidR="007468BA" w:rsidRPr="007468BA" w:rsidTr="007468BA">
        <w:trPr>
          <w:trHeight w:val="24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41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6. Sau khi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giấy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báo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trúng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thủ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tục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nhập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học:</w:t>
            </w:r>
          </w:p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+ Thí sinh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giấy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báo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trúng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làm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thủ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tục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theo thông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báo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P.SĐH;</w:t>
            </w: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  <w:t xml:space="preserve">+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Hoàn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nộp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đơn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phần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P.SĐH (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để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được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những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phần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đã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theo học trong chương trình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bồi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dưỡng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sau đại học qua chương trình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đào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tạo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trình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độ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thạc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sĩ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7468B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P.SĐH, Phòng Tài chính, Phòng Công tác học sinh, sinh viên, thí sinh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trúng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BA" w:rsidRPr="007468BA" w:rsidRDefault="007468BA" w:rsidP="00637D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Đơn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đề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nghị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công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nhận</w:t>
            </w:r>
            <w:proofErr w:type="spellEnd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7468B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phần</w:t>
            </w:r>
            <w:proofErr w:type="spellEnd"/>
          </w:p>
        </w:tc>
      </w:tr>
    </w:tbl>
    <w:p w:rsidR="007468BA" w:rsidRPr="00637DB2" w:rsidRDefault="007468BA">
      <w:pPr>
        <w:rPr>
          <w:rFonts w:asciiTheme="majorHAnsi" w:hAnsiTheme="majorHAnsi" w:cstheme="majorHAnsi"/>
          <w:sz w:val="24"/>
          <w:szCs w:val="24"/>
        </w:rPr>
      </w:pPr>
    </w:p>
    <w:sectPr w:rsidR="007468BA" w:rsidRPr="00637DB2" w:rsidSect="007468B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B2B"/>
    <w:multiLevelType w:val="hybridMultilevel"/>
    <w:tmpl w:val="83827428"/>
    <w:lvl w:ilvl="0" w:tplc="8A6257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269E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880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60B16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2C8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A50F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EA5B4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6B99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A241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9096C08"/>
    <w:multiLevelType w:val="hybridMultilevel"/>
    <w:tmpl w:val="57E6A362"/>
    <w:lvl w:ilvl="0" w:tplc="EE38941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48C1"/>
    <w:multiLevelType w:val="hybridMultilevel"/>
    <w:tmpl w:val="80104D9A"/>
    <w:lvl w:ilvl="0" w:tplc="615A29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802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299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C56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4D6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6F9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6B8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846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0EA1"/>
    <w:multiLevelType w:val="hybridMultilevel"/>
    <w:tmpl w:val="9BF8F7A4"/>
    <w:lvl w:ilvl="0" w:tplc="AA46E3D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BA"/>
    <w:rsid w:val="005A5419"/>
    <w:rsid w:val="00637DB2"/>
    <w:rsid w:val="00677652"/>
    <w:rsid w:val="007468BA"/>
    <w:rsid w:val="00803F6A"/>
    <w:rsid w:val="008A41BA"/>
    <w:rsid w:val="00A35B41"/>
    <w:rsid w:val="00E2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5BBA"/>
  <w15:chartTrackingRefBased/>
  <w15:docId w15:val="{21236F53-AEBA-4814-820B-A4EC80A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5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7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5</cp:revision>
  <dcterms:created xsi:type="dcterms:W3CDTF">2018-12-21T01:04:00Z</dcterms:created>
  <dcterms:modified xsi:type="dcterms:W3CDTF">2018-12-21T01:28:00Z</dcterms:modified>
</cp:coreProperties>
</file>